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5DAD" w:rsidRDefault="00E8345D" w:rsidP="0096261F">
      <w:pPr>
        <w:pStyle w:val="IQB-Aufgabentitel"/>
        <w:spacing w:after="120"/>
      </w:pPr>
      <w:r>
        <w:t xml:space="preserve">Didaktische </w:t>
      </w:r>
      <w:r w:rsidR="00DD7D7B">
        <w:t>Kommentierung</w:t>
      </w:r>
      <w:bookmarkStart w:id="0" w:name="_GoBack"/>
      <w:bookmarkEnd w:id="0"/>
      <w:r w:rsidR="002920E7">
        <w:t>:</w:t>
      </w:r>
      <w:r>
        <w:t xml:space="preserve"> Aufgabe</w:t>
      </w:r>
      <w:r w:rsidR="002920E7">
        <w:t xml:space="preserve"> Würfelnetze ergänzen</w:t>
      </w:r>
    </w:p>
    <w:p w:rsidR="0096261F" w:rsidRPr="0096261F" w:rsidRDefault="0096261F" w:rsidP="0096261F">
      <w:pPr>
        <w:pStyle w:val="IQB-Aufgabentitel"/>
        <w:spacing w:after="120"/>
        <w:rPr>
          <w:sz w:val="22"/>
          <w:szCs w:val="22"/>
        </w:rPr>
      </w:pPr>
    </w:p>
    <w:p w:rsidR="00E8345D" w:rsidRPr="00E8345D" w:rsidRDefault="00E8345D" w:rsidP="0096261F">
      <w:pPr>
        <w:pStyle w:val="IQB-Aufgabentitel"/>
        <w:spacing w:after="120"/>
        <w:rPr>
          <w:b/>
          <w:sz w:val="22"/>
          <w:szCs w:val="22"/>
        </w:rPr>
      </w:pPr>
      <w:r w:rsidRPr="00E8345D">
        <w:rPr>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3543"/>
        <w:gridCol w:w="3543"/>
      </w:tblGrid>
      <w:tr w:rsidR="00E95DAD">
        <w:tc>
          <w:tcPr>
            <w:tcW w:w="2040" w:type="dxa"/>
            <w:vAlign w:val="center"/>
          </w:tcPr>
          <w:p w:rsidR="00E95DAD" w:rsidRPr="0096261F" w:rsidRDefault="002920E7" w:rsidP="0096261F">
            <w:pPr>
              <w:pStyle w:val="IQB-Merkmal"/>
              <w:spacing w:before="0" w:after="120"/>
              <w:rPr>
                <w:sz w:val="20"/>
                <w:szCs w:val="20"/>
              </w:rPr>
            </w:pPr>
            <w:r w:rsidRPr="0096261F">
              <w:rPr>
                <w:sz w:val="20"/>
                <w:szCs w:val="20"/>
              </w:rPr>
              <w:t>Leitidee</w:t>
            </w:r>
          </w:p>
        </w:tc>
        <w:tc>
          <w:tcPr>
            <w:tcW w:w="7086" w:type="dxa"/>
            <w:gridSpan w:val="2"/>
          </w:tcPr>
          <w:p w:rsidR="00E95DAD" w:rsidRPr="0096261F" w:rsidRDefault="002920E7" w:rsidP="0096261F">
            <w:pPr>
              <w:pStyle w:val="IQB-Merkmalswert"/>
              <w:spacing w:before="0" w:after="120"/>
              <w:rPr>
                <w:sz w:val="20"/>
                <w:szCs w:val="20"/>
              </w:rPr>
            </w:pPr>
            <w:r w:rsidRPr="0096261F">
              <w:rPr>
                <w:sz w:val="20"/>
                <w:szCs w:val="20"/>
              </w:rPr>
              <w:t>Raum und Form</w:t>
            </w:r>
          </w:p>
        </w:tc>
      </w:tr>
      <w:tr w:rsidR="00E95DAD">
        <w:tc>
          <w:tcPr>
            <w:tcW w:w="2040" w:type="dxa"/>
          </w:tcPr>
          <w:p w:rsidR="00E95DAD" w:rsidRPr="0096261F" w:rsidRDefault="002920E7" w:rsidP="0096261F">
            <w:pPr>
              <w:pStyle w:val="IQB-Merkmal"/>
              <w:spacing w:before="0" w:after="120"/>
              <w:rPr>
                <w:sz w:val="20"/>
                <w:szCs w:val="20"/>
              </w:rPr>
            </w:pPr>
            <w:r w:rsidRPr="0096261F">
              <w:rPr>
                <w:sz w:val="20"/>
                <w:szCs w:val="20"/>
              </w:rPr>
              <w:t>Aufgabenmerkmale</w:t>
            </w:r>
          </w:p>
        </w:tc>
        <w:tc>
          <w:tcPr>
            <w:tcW w:w="3543" w:type="dxa"/>
          </w:tcPr>
          <w:p w:rsidR="00E95DAD" w:rsidRPr="0096261F" w:rsidRDefault="002920E7" w:rsidP="0096261F">
            <w:pPr>
              <w:pStyle w:val="IQB-Merkmalswert"/>
              <w:spacing w:before="0" w:after="120"/>
              <w:rPr>
                <w:sz w:val="20"/>
                <w:szCs w:val="20"/>
              </w:rPr>
            </w:pPr>
            <w:r w:rsidRPr="0096261F">
              <w:rPr>
                <w:sz w:val="20"/>
                <w:szCs w:val="20"/>
              </w:rPr>
              <w:t>1</w:t>
            </w:r>
          </w:p>
        </w:tc>
        <w:tc>
          <w:tcPr>
            <w:tcW w:w="3543" w:type="dxa"/>
          </w:tcPr>
          <w:p w:rsidR="00E95DAD" w:rsidRPr="0096261F" w:rsidRDefault="002920E7" w:rsidP="0096261F">
            <w:pPr>
              <w:pStyle w:val="IQB-Merkmalswert"/>
              <w:spacing w:before="0" w:after="120"/>
              <w:rPr>
                <w:sz w:val="20"/>
                <w:szCs w:val="20"/>
              </w:rPr>
            </w:pPr>
            <w:r w:rsidRPr="0096261F">
              <w:rPr>
                <w:sz w:val="20"/>
                <w:szCs w:val="20"/>
              </w:rPr>
              <w:t>2</w:t>
            </w:r>
          </w:p>
        </w:tc>
      </w:tr>
      <w:tr w:rsidR="00E95DAD">
        <w:tc>
          <w:tcPr>
            <w:tcW w:w="2040" w:type="dxa"/>
            <w:vAlign w:val="center"/>
          </w:tcPr>
          <w:p w:rsidR="00E95DAD" w:rsidRPr="0096261F" w:rsidRDefault="002920E7" w:rsidP="0096261F">
            <w:pPr>
              <w:pStyle w:val="IQB-Merkmal"/>
              <w:spacing w:before="0" w:after="120"/>
              <w:rPr>
                <w:sz w:val="20"/>
                <w:szCs w:val="20"/>
              </w:rPr>
            </w:pPr>
            <w:r w:rsidRPr="0096261F">
              <w:rPr>
                <w:sz w:val="20"/>
                <w:szCs w:val="20"/>
              </w:rPr>
              <w:t>Bildungsstandard/s - Allgemeine Kompetenzen</w:t>
            </w:r>
          </w:p>
        </w:tc>
        <w:tc>
          <w:tcPr>
            <w:tcW w:w="3543" w:type="dxa"/>
          </w:tcPr>
          <w:p w:rsidR="00E95DAD" w:rsidRPr="0096261F" w:rsidRDefault="00E8345D" w:rsidP="0096261F">
            <w:pPr>
              <w:pStyle w:val="IQB-Merkmalswert"/>
              <w:spacing w:before="0" w:after="120"/>
              <w:rPr>
                <w:sz w:val="20"/>
                <w:szCs w:val="20"/>
              </w:rPr>
            </w:pPr>
            <w:r w:rsidRPr="0096261F">
              <w:rPr>
                <w:sz w:val="20"/>
                <w:szCs w:val="20"/>
              </w:rPr>
              <w:t>M</w:t>
            </w:r>
            <w:r w:rsidR="002920E7" w:rsidRPr="0096261F">
              <w:rPr>
                <w:sz w:val="20"/>
                <w:szCs w:val="20"/>
              </w:rPr>
              <w:t>athematische Kenntnisse, Fertigkeiten und Fähigkeiten bei der Bearbeitung problemhaltiger Aufgaben anwenden</w:t>
            </w:r>
          </w:p>
        </w:tc>
        <w:tc>
          <w:tcPr>
            <w:tcW w:w="3543" w:type="dxa"/>
          </w:tcPr>
          <w:p w:rsidR="00E95DAD" w:rsidRPr="0096261F" w:rsidRDefault="00E8345D" w:rsidP="0096261F">
            <w:pPr>
              <w:pStyle w:val="IQB-Merkmalswert"/>
              <w:spacing w:before="0" w:after="120"/>
              <w:rPr>
                <w:sz w:val="20"/>
                <w:szCs w:val="20"/>
              </w:rPr>
            </w:pPr>
            <w:r w:rsidRPr="0096261F">
              <w:rPr>
                <w:sz w:val="20"/>
                <w:szCs w:val="20"/>
              </w:rPr>
              <w:t>M</w:t>
            </w:r>
            <w:r w:rsidR="002920E7" w:rsidRPr="0096261F">
              <w:rPr>
                <w:sz w:val="20"/>
                <w:szCs w:val="20"/>
              </w:rPr>
              <w:t>athematische Kenntnisse, Fertigkeiten und Fähigkeiten bei der Bearbeitung problemhaltiger Aufgaben anwenden</w:t>
            </w:r>
          </w:p>
        </w:tc>
      </w:tr>
      <w:tr w:rsidR="00E95DAD">
        <w:tc>
          <w:tcPr>
            <w:tcW w:w="2040" w:type="dxa"/>
            <w:vAlign w:val="center"/>
          </w:tcPr>
          <w:p w:rsidR="00E95DAD" w:rsidRPr="0096261F" w:rsidRDefault="002920E7" w:rsidP="0096261F">
            <w:pPr>
              <w:pStyle w:val="IQB-Merkmal"/>
              <w:spacing w:before="0" w:after="120"/>
              <w:rPr>
                <w:sz w:val="20"/>
                <w:szCs w:val="20"/>
              </w:rPr>
            </w:pPr>
            <w:r w:rsidRPr="0096261F">
              <w:rPr>
                <w:sz w:val="20"/>
                <w:szCs w:val="20"/>
              </w:rPr>
              <w:t>Bildungsstandard/s - Inhaltsbezogene Kompetenzen (Leitideen)</w:t>
            </w:r>
          </w:p>
        </w:tc>
        <w:tc>
          <w:tcPr>
            <w:tcW w:w="3543" w:type="dxa"/>
          </w:tcPr>
          <w:p w:rsidR="00E95DAD" w:rsidRPr="0096261F" w:rsidRDefault="00E8345D" w:rsidP="0096261F">
            <w:pPr>
              <w:pStyle w:val="IQB-Merkmalswert"/>
              <w:spacing w:before="0" w:after="120"/>
              <w:rPr>
                <w:sz w:val="20"/>
                <w:szCs w:val="20"/>
              </w:rPr>
            </w:pPr>
            <w:r w:rsidRPr="0096261F">
              <w:rPr>
                <w:sz w:val="20"/>
                <w:szCs w:val="20"/>
              </w:rPr>
              <w:t>Z</w:t>
            </w:r>
            <w:r w:rsidR="002920E7" w:rsidRPr="0096261F">
              <w:rPr>
                <w:sz w:val="20"/>
                <w:szCs w:val="20"/>
              </w:rPr>
              <w:t>wei- und dreidimensionale Darstellungen von Bauwerken (z.B. Würfelgebäuden) zueinander in Beziehung setzen (nach Vorlage bauen, zu Bauten Baupläne erstellen, Kantenmodelle und Netze untersuchen)</w:t>
            </w:r>
          </w:p>
        </w:tc>
        <w:tc>
          <w:tcPr>
            <w:tcW w:w="3543" w:type="dxa"/>
          </w:tcPr>
          <w:p w:rsidR="00E95DAD" w:rsidRPr="0096261F" w:rsidRDefault="00E8345D" w:rsidP="0096261F">
            <w:pPr>
              <w:pStyle w:val="IQB-Merkmalswert"/>
              <w:spacing w:before="0" w:after="120"/>
              <w:rPr>
                <w:sz w:val="20"/>
                <w:szCs w:val="20"/>
              </w:rPr>
            </w:pPr>
            <w:r w:rsidRPr="0096261F">
              <w:rPr>
                <w:sz w:val="20"/>
                <w:szCs w:val="20"/>
              </w:rPr>
              <w:t>Z</w:t>
            </w:r>
            <w:r w:rsidR="002920E7" w:rsidRPr="0096261F">
              <w:rPr>
                <w:sz w:val="20"/>
                <w:szCs w:val="20"/>
              </w:rPr>
              <w:t>wei- und dreidimensionale Darstellungen von Bauwerken (z.B. Würfelgebäuden) zueinander in Beziehung setzen (nach Vorlage bauen, zu Bauten Baupläne erstellen, Kantenmodelle und Netze untersuchen)</w:t>
            </w:r>
          </w:p>
        </w:tc>
      </w:tr>
      <w:tr w:rsidR="00E95DAD">
        <w:tc>
          <w:tcPr>
            <w:tcW w:w="2040" w:type="dxa"/>
            <w:vAlign w:val="center"/>
          </w:tcPr>
          <w:p w:rsidR="00E95DAD" w:rsidRPr="0096261F" w:rsidRDefault="002920E7" w:rsidP="0096261F">
            <w:pPr>
              <w:pStyle w:val="IQB-Merkmal"/>
              <w:spacing w:before="0" w:after="120"/>
              <w:rPr>
                <w:sz w:val="20"/>
                <w:szCs w:val="20"/>
              </w:rPr>
            </w:pPr>
            <w:r w:rsidRPr="0096261F">
              <w:rPr>
                <w:sz w:val="20"/>
                <w:szCs w:val="20"/>
              </w:rPr>
              <w:t>Kompetenzstufe</w:t>
            </w:r>
          </w:p>
        </w:tc>
        <w:tc>
          <w:tcPr>
            <w:tcW w:w="3543" w:type="dxa"/>
          </w:tcPr>
          <w:p w:rsidR="00E95DAD" w:rsidRPr="0096261F" w:rsidRDefault="002920E7" w:rsidP="0096261F">
            <w:pPr>
              <w:pStyle w:val="IQB-Merkmalswert"/>
              <w:spacing w:before="0" w:after="120"/>
              <w:rPr>
                <w:sz w:val="20"/>
                <w:szCs w:val="20"/>
              </w:rPr>
            </w:pPr>
            <w:r w:rsidRPr="0096261F">
              <w:rPr>
                <w:sz w:val="20"/>
                <w:szCs w:val="20"/>
              </w:rPr>
              <w:t>IV</w:t>
            </w:r>
          </w:p>
        </w:tc>
        <w:tc>
          <w:tcPr>
            <w:tcW w:w="3543" w:type="dxa"/>
          </w:tcPr>
          <w:p w:rsidR="00E95DAD" w:rsidRPr="0096261F" w:rsidRDefault="002920E7" w:rsidP="0096261F">
            <w:pPr>
              <w:pStyle w:val="IQB-Merkmalswert"/>
              <w:spacing w:before="0" w:after="120"/>
              <w:rPr>
                <w:sz w:val="20"/>
                <w:szCs w:val="20"/>
              </w:rPr>
            </w:pPr>
            <w:r w:rsidRPr="0096261F">
              <w:rPr>
                <w:sz w:val="20"/>
                <w:szCs w:val="20"/>
              </w:rPr>
              <w:t>V</w:t>
            </w:r>
          </w:p>
        </w:tc>
      </w:tr>
      <w:tr w:rsidR="00E95DAD">
        <w:tc>
          <w:tcPr>
            <w:tcW w:w="2040" w:type="dxa"/>
            <w:vAlign w:val="center"/>
          </w:tcPr>
          <w:p w:rsidR="00E95DAD" w:rsidRPr="0096261F" w:rsidRDefault="002920E7" w:rsidP="0096261F">
            <w:pPr>
              <w:pStyle w:val="IQB-Merkmal"/>
              <w:spacing w:before="0" w:after="120"/>
              <w:rPr>
                <w:sz w:val="20"/>
                <w:szCs w:val="20"/>
              </w:rPr>
            </w:pPr>
            <w:r w:rsidRPr="0096261F">
              <w:rPr>
                <w:sz w:val="20"/>
                <w:szCs w:val="20"/>
              </w:rPr>
              <w:t>Anforderungsbereich</w:t>
            </w:r>
          </w:p>
        </w:tc>
        <w:tc>
          <w:tcPr>
            <w:tcW w:w="3543" w:type="dxa"/>
          </w:tcPr>
          <w:p w:rsidR="00E95DAD" w:rsidRPr="0096261F" w:rsidRDefault="002920E7" w:rsidP="0096261F">
            <w:pPr>
              <w:pStyle w:val="IQB-Merkmalswert"/>
              <w:spacing w:before="0" w:after="120"/>
              <w:rPr>
                <w:sz w:val="20"/>
                <w:szCs w:val="20"/>
              </w:rPr>
            </w:pPr>
            <w:r w:rsidRPr="0096261F">
              <w:rPr>
                <w:sz w:val="20"/>
                <w:szCs w:val="20"/>
              </w:rPr>
              <w:t>Zusammenhänge herstellen (II)</w:t>
            </w:r>
          </w:p>
        </w:tc>
        <w:tc>
          <w:tcPr>
            <w:tcW w:w="3543" w:type="dxa"/>
          </w:tcPr>
          <w:p w:rsidR="00E95DAD" w:rsidRPr="0096261F" w:rsidRDefault="002920E7" w:rsidP="0096261F">
            <w:pPr>
              <w:pStyle w:val="IQB-Merkmalswert"/>
              <w:spacing w:before="0" w:after="120"/>
              <w:rPr>
                <w:sz w:val="20"/>
                <w:szCs w:val="20"/>
              </w:rPr>
            </w:pPr>
            <w:r w:rsidRPr="0096261F">
              <w:rPr>
                <w:sz w:val="20"/>
                <w:szCs w:val="20"/>
              </w:rPr>
              <w:t>Zusammenhänge herstellen (II)</w:t>
            </w:r>
          </w:p>
        </w:tc>
      </w:tr>
    </w:tbl>
    <w:p w:rsidR="008F646F" w:rsidRDefault="008F646F" w:rsidP="0096261F">
      <w:pPr>
        <w:spacing w:after="120"/>
        <w:rPr>
          <w:rFonts w:ascii="Arial" w:hAnsi="Arial"/>
          <w:sz w:val="22"/>
        </w:rPr>
      </w:pPr>
    </w:p>
    <w:p w:rsidR="002920E7" w:rsidRPr="0096261F" w:rsidRDefault="002920E7" w:rsidP="0096261F">
      <w:pPr>
        <w:pStyle w:val="IQB-Aufgabensubtitel"/>
        <w:spacing w:before="0" w:after="120"/>
        <w:rPr>
          <w:sz w:val="22"/>
          <w:szCs w:val="22"/>
        </w:rPr>
      </w:pPr>
      <w:r w:rsidRPr="0096261F">
        <w:rPr>
          <w:sz w:val="22"/>
          <w:szCs w:val="22"/>
        </w:rPr>
        <w:t>Aufgabenbezogener Kommentar</w:t>
      </w:r>
    </w:p>
    <w:p w:rsidR="002920E7" w:rsidRPr="0096261F" w:rsidRDefault="002920E7" w:rsidP="0096261F">
      <w:pPr>
        <w:pStyle w:val="Flietext"/>
        <w:rPr>
          <w:szCs w:val="22"/>
        </w:rPr>
      </w:pPr>
      <w:r w:rsidRPr="0096261F">
        <w:rPr>
          <w:szCs w:val="22"/>
        </w:rPr>
        <w:t>Das Würfelnetz ist eine zweidimensionale Figur, in der sechs gleich große quadratische Flächen so verbunden sind, dass daraus ein Würfel gefaltet werden kann. Für die Bewältigung dieser Aufgabe muss das räumliche Vorstellungsvermögen der Kinder so entwickelt sein, dass sie diesen Vorgang gedanklich ohne praktisches Handeln nachvollziehen können.</w:t>
      </w:r>
    </w:p>
    <w:p w:rsidR="002920E7" w:rsidRPr="0096261F" w:rsidRDefault="002920E7" w:rsidP="0096261F">
      <w:pPr>
        <w:pStyle w:val="Flietext"/>
        <w:rPr>
          <w:szCs w:val="22"/>
        </w:rPr>
      </w:pPr>
      <w:r w:rsidRPr="0096261F">
        <w:rPr>
          <w:szCs w:val="22"/>
        </w:rPr>
        <w:t>Dazu müssen sie über folgendes Wissen verfügen:</w:t>
      </w:r>
    </w:p>
    <w:p w:rsidR="002920E7" w:rsidRPr="0096261F" w:rsidRDefault="002920E7" w:rsidP="0096261F">
      <w:pPr>
        <w:pStyle w:val="Anstriche1"/>
        <w:numPr>
          <w:ilvl w:val="0"/>
          <w:numId w:val="6"/>
        </w:numPr>
        <w:spacing w:before="0"/>
        <w:jc w:val="left"/>
        <w:rPr>
          <w:szCs w:val="22"/>
        </w:rPr>
      </w:pPr>
      <w:r w:rsidRPr="0096261F">
        <w:rPr>
          <w:szCs w:val="22"/>
        </w:rPr>
        <w:t>Das Würfelnetz besteht aus sechs gleich großen quadratischen Flächen, d. h. bei beiden Aufgaben muss ein Quadrat der entsprechenden Größe angefügt werden.</w:t>
      </w:r>
    </w:p>
    <w:p w:rsidR="002920E7" w:rsidRPr="0096261F" w:rsidRDefault="002920E7" w:rsidP="0096261F">
      <w:pPr>
        <w:pStyle w:val="Anstriche1"/>
        <w:numPr>
          <w:ilvl w:val="0"/>
          <w:numId w:val="6"/>
        </w:numPr>
        <w:spacing w:before="0"/>
        <w:jc w:val="left"/>
        <w:rPr>
          <w:szCs w:val="22"/>
        </w:rPr>
      </w:pPr>
      <w:r w:rsidRPr="0096261F">
        <w:rPr>
          <w:szCs w:val="22"/>
        </w:rPr>
        <w:t xml:space="preserve">Die Anordnung des 6. Quadrats muss so erfolgen, dass ein Würfel entstehen kann, wenn man das Netz ausschneidet und faltet. </w:t>
      </w:r>
    </w:p>
    <w:p w:rsidR="002920E7" w:rsidRPr="0096261F" w:rsidRDefault="002920E7" w:rsidP="0096261F">
      <w:pPr>
        <w:pStyle w:val="Anstriche1"/>
        <w:numPr>
          <w:ilvl w:val="0"/>
          <w:numId w:val="0"/>
        </w:numPr>
        <w:spacing w:before="0"/>
        <w:jc w:val="left"/>
        <w:rPr>
          <w:szCs w:val="22"/>
        </w:rPr>
      </w:pPr>
    </w:p>
    <w:p w:rsidR="002920E7" w:rsidRPr="0096261F" w:rsidRDefault="002920E7" w:rsidP="0096261F">
      <w:pPr>
        <w:pStyle w:val="IQB-Aufgabensubtitel"/>
        <w:spacing w:before="0" w:after="120"/>
        <w:rPr>
          <w:sz w:val="22"/>
          <w:szCs w:val="22"/>
        </w:rPr>
      </w:pPr>
      <w:r w:rsidRPr="0096261F">
        <w:rPr>
          <w:sz w:val="22"/>
          <w:szCs w:val="22"/>
        </w:rPr>
        <w:t>Anregungen für den Unterricht</w:t>
      </w:r>
    </w:p>
    <w:p w:rsidR="002920E7" w:rsidRPr="0096261F" w:rsidRDefault="002920E7" w:rsidP="0096261F">
      <w:pPr>
        <w:pStyle w:val="Flietext"/>
        <w:rPr>
          <w:szCs w:val="22"/>
        </w:rPr>
      </w:pPr>
      <w:r w:rsidRPr="0096261F">
        <w:rPr>
          <w:szCs w:val="22"/>
        </w:rPr>
        <w:t>Für die erfolgreiche Bearbeitung dieser Aufgabe, ist es notwendig, dass die Kinder im Unterricht vielfältige Erfahrungen mit Würfelnetzen auf der handelnden und bildlichen Ebene machen und diese sprachlich begleiten (verbalisieren), z. B.:</w:t>
      </w:r>
    </w:p>
    <w:p w:rsidR="002920E7" w:rsidRPr="0096261F" w:rsidRDefault="002920E7" w:rsidP="0096261F">
      <w:pPr>
        <w:pStyle w:val="abcd"/>
        <w:numPr>
          <w:ilvl w:val="0"/>
          <w:numId w:val="7"/>
        </w:numPr>
        <w:spacing w:before="0"/>
        <w:jc w:val="left"/>
        <w:rPr>
          <w:szCs w:val="22"/>
        </w:rPr>
      </w:pPr>
      <w:r w:rsidRPr="0096261F">
        <w:rPr>
          <w:szCs w:val="22"/>
        </w:rPr>
        <w:t xml:space="preserve">Würfelnetze entdecken </w:t>
      </w:r>
    </w:p>
    <w:p w:rsidR="002920E7" w:rsidRPr="0096261F" w:rsidRDefault="002920E7" w:rsidP="0096261F">
      <w:pPr>
        <w:pStyle w:val="abcd"/>
        <w:numPr>
          <w:ilvl w:val="0"/>
          <w:numId w:val="0"/>
        </w:numPr>
        <w:spacing w:before="0"/>
        <w:ind w:left="284"/>
        <w:jc w:val="left"/>
        <w:rPr>
          <w:szCs w:val="22"/>
        </w:rPr>
      </w:pPr>
      <w:r w:rsidRPr="0096261F">
        <w:rPr>
          <w:szCs w:val="22"/>
        </w:rPr>
        <w:t>Aktivitäten dazu sind: Auseinanderklappen und Zusammensetzen didaktischen Materials, Abrollen – wobei durch das Abrollen nur 4 von 11 möglichen Würfelnetzen entdeckt werden können.</w:t>
      </w:r>
    </w:p>
    <w:p w:rsidR="002920E7" w:rsidRPr="0096261F" w:rsidRDefault="002920E7" w:rsidP="0096261F">
      <w:pPr>
        <w:pStyle w:val="abcd"/>
        <w:numPr>
          <w:ilvl w:val="0"/>
          <w:numId w:val="7"/>
        </w:numPr>
        <w:spacing w:before="0"/>
        <w:jc w:val="left"/>
        <w:rPr>
          <w:szCs w:val="22"/>
        </w:rPr>
      </w:pPr>
      <w:r w:rsidRPr="0096261F">
        <w:rPr>
          <w:szCs w:val="22"/>
        </w:rPr>
        <w:t>Würfelnetze strukturieren</w:t>
      </w:r>
    </w:p>
    <w:p w:rsidR="002920E7" w:rsidRPr="0096261F" w:rsidRDefault="002920E7" w:rsidP="0096261F">
      <w:pPr>
        <w:pStyle w:val="abcd"/>
        <w:numPr>
          <w:ilvl w:val="0"/>
          <w:numId w:val="0"/>
        </w:numPr>
        <w:spacing w:before="0"/>
        <w:ind w:left="284"/>
        <w:jc w:val="left"/>
        <w:rPr>
          <w:szCs w:val="22"/>
        </w:rPr>
      </w:pPr>
      <w:r w:rsidRPr="0096261F">
        <w:rPr>
          <w:szCs w:val="22"/>
        </w:rPr>
        <w:t>Kinder überlegen sich eigene Strukturierungsmöglichkeiten (z. B. Würfelnetze in der Form von Buchstaben oder Zahlen, Würfelnetze, die Gegenständen ähneln, …)</w:t>
      </w:r>
      <w:r w:rsidRPr="0096261F">
        <w:rPr>
          <w:szCs w:val="22"/>
        </w:rPr>
        <w:br/>
        <w:t>Die mathematische Strukturierung der Würfelnetze ist als eine Möglichkeit der Systematisierung zu entdecken/erarbeiten, z. B.</w:t>
      </w:r>
    </w:p>
    <w:p w:rsidR="002920E7" w:rsidRPr="0096261F" w:rsidRDefault="002920E7" w:rsidP="0096261F">
      <w:pPr>
        <w:pStyle w:val="abcd"/>
        <w:numPr>
          <w:ilvl w:val="0"/>
          <w:numId w:val="0"/>
        </w:numPr>
        <w:spacing w:before="0"/>
        <w:jc w:val="left"/>
        <w:rPr>
          <w:szCs w:val="22"/>
        </w:rPr>
      </w:pPr>
    </w:p>
    <w:p w:rsidR="002920E7" w:rsidRDefault="003B14C5" w:rsidP="0096261F">
      <w:pPr>
        <w:pStyle w:val="Grafik"/>
        <w:spacing w:after="120"/>
        <w:ind w:left="0"/>
        <w:jc w:val="left"/>
        <w:rPr>
          <w:szCs w:val="22"/>
        </w:rPr>
      </w:pPr>
      <w:r>
        <w:rPr>
          <w:szCs w:val="22"/>
        </w:rPr>
        <w:lastRenderedPageBreak/>
        <w:drawing>
          <wp:inline distT="0" distB="0" distL="0" distR="0">
            <wp:extent cx="4597200" cy="192968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uerfelnetze_ergaenzen_A.emf"/>
                    <pic:cNvPicPr/>
                  </pic:nvPicPr>
                  <pic:blipFill>
                    <a:blip r:embed="rId7">
                      <a:extLst>
                        <a:ext uri="{28A0092B-C50C-407E-A947-70E740481C1C}">
                          <a14:useLocalDpi xmlns:a14="http://schemas.microsoft.com/office/drawing/2010/main" val="0"/>
                        </a:ext>
                      </a:extLst>
                    </a:blip>
                    <a:stretch>
                      <a:fillRect/>
                    </a:stretch>
                  </pic:blipFill>
                  <pic:spPr>
                    <a:xfrm>
                      <a:off x="0" y="0"/>
                      <a:ext cx="4597200" cy="1929689"/>
                    </a:xfrm>
                    <a:prstGeom prst="rect">
                      <a:avLst/>
                    </a:prstGeom>
                  </pic:spPr>
                </pic:pic>
              </a:graphicData>
            </a:graphic>
          </wp:inline>
        </w:drawing>
      </w:r>
    </w:p>
    <w:p w:rsidR="0096261F" w:rsidRPr="0096261F" w:rsidRDefault="0096261F" w:rsidP="0096261F">
      <w:pPr>
        <w:pStyle w:val="Grafik"/>
        <w:spacing w:after="120"/>
        <w:ind w:left="0"/>
        <w:jc w:val="left"/>
        <w:rPr>
          <w:szCs w:val="22"/>
        </w:rPr>
      </w:pPr>
    </w:p>
    <w:p w:rsidR="002920E7" w:rsidRPr="0096261F" w:rsidRDefault="0096261F" w:rsidP="0096261F">
      <w:pPr>
        <w:pStyle w:val="abcd"/>
        <w:numPr>
          <w:ilvl w:val="0"/>
          <w:numId w:val="7"/>
        </w:numPr>
        <w:spacing w:before="0"/>
        <w:jc w:val="left"/>
        <w:rPr>
          <w:szCs w:val="22"/>
        </w:rPr>
      </w:pPr>
      <w:r>
        <w:rPr>
          <w:szCs w:val="22"/>
        </w:rPr>
        <w:t>W</w:t>
      </w:r>
      <w:r w:rsidR="002920E7" w:rsidRPr="0096261F">
        <w:rPr>
          <w:szCs w:val="22"/>
        </w:rPr>
        <w:t>eitere Übungen mit Würfelnetzen:</w:t>
      </w:r>
    </w:p>
    <w:p w:rsidR="0096261F" w:rsidRDefault="002920E7" w:rsidP="0096261F">
      <w:pPr>
        <w:pStyle w:val="abcd"/>
        <w:numPr>
          <w:ilvl w:val="0"/>
          <w:numId w:val="0"/>
        </w:numPr>
        <w:spacing w:before="0"/>
        <w:ind w:left="284"/>
        <w:jc w:val="left"/>
        <w:rPr>
          <w:szCs w:val="22"/>
        </w:rPr>
      </w:pPr>
      <w:r w:rsidRPr="0096261F">
        <w:rPr>
          <w:szCs w:val="22"/>
        </w:rPr>
        <w:t xml:space="preserve">Die Kinder führen vielfältige Übungen zu den Würfelnetzen durch, z. B.: </w:t>
      </w:r>
      <w:r w:rsidR="0096261F">
        <w:rPr>
          <w:szCs w:val="22"/>
        </w:rPr>
        <w:br/>
      </w:r>
      <w:r w:rsidRPr="0096261F">
        <w:rPr>
          <w:szCs w:val="22"/>
        </w:rPr>
        <w:t>„Warum kann man aus diesen Netzen keinen Würfel falten? Begründe.“</w:t>
      </w:r>
    </w:p>
    <w:p w:rsidR="0096261F" w:rsidRDefault="003B14C5" w:rsidP="0096261F">
      <w:pPr>
        <w:pStyle w:val="abcd"/>
        <w:numPr>
          <w:ilvl w:val="0"/>
          <w:numId w:val="0"/>
        </w:numPr>
        <w:spacing w:before="0"/>
        <w:ind w:left="284"/>
        <w:jc w:val="left"/>
        <w:rPr>
          <w:szCs w:val="22"/>
        </w:rPr>
      </w:pPr>
      <w:r>
        <w:rPr>
          <w:noProof/>
          <w:szCs w:val="22"/>
        </w:rPr>
        <w:drawing>
          <wp:inline distT="0" distB="0" distL="0" distR="0">
            <wp:extent cx="5385600" cy="1213422"/>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uerfelnetze_ergaenzen_B.emf"/>
                    <pic:cNvPicPr/>
                  </pic:nvPicPr>
                  <pic:blipFill>
                    <a:blip r:embed="rId8">
                      <a:extLst>
                        <a:ext uri="{28A0092B-C50C-407E-A947-70E740481C1C}">
                          <a14:useLocalDpi xmlns:a14="http://schemas.microsoft.com/office/drawing/2010/main" val="0"/>
                        </a:ext>
                      </a:extLst>
                    </a:blip>
                    <a:stretch>
                      <a:fillRect/>
                    </a:stretch>
                  </pic:blipFill>
                  <pic:spPr>
                    <a:xfrm>
                      <a:off x="0" y="0"/>
                      <a:ext cx="5385600" cy="1213422"/>
                    </a:xfrm>
                    <a:prstGeom prst="rect">
                      <a:avLst/>
                    </a:prstGeom>
                  </pic:spPr>
                </pic:pic>
              </a:graphicData>
            </a:graphic>
          </wp:inline>
        </w:drawing>
      </w:r>
    </w:p>
    <w:p w:rsidR="002920E7" w:rsidRPr="0096261F" w:rsidRDefault="002920E7" w:rsidP="0096261F">
      <w:pPr>
        <w:pStyle w:val="abcd"/>
        <w:numPr>
          <w:ilvl w:val="0"/>
          <w:numId w:val="0"/>
        </w:numPr>
        <w:spacing w:before="0"/>
        <w:ind w:left="284"/>
        <w:jc w:val="left"/>
        <w:rPr>
          <w:szCs w:val="22"/>
        </w:rPr>
      </w:pPr>
      <w:r w:rsidRPr="0096261F">
        <w:rPr>
          <w:szCs w:val="22"/>
        </w:rPr>
        <w:t xml:space="preserve">Das Anspruchsniveau der Aufgabe kann dadurch erhöht werden, dass alle Möglichkeiten </w:t>
      </w:r>
      <w:r w:rsidR="0096261F">
        <w:rPr>
          <w:szCs w:val="22"/>
        </w:rPr>
        <w:t xml:space="preserve">   </w:t>
      </w:r>
      <w:r w:rsidRPr="0096261F">
        <w:rPr>
          <w:szCs w:val="22"/>
        </w:rPr>
        <w:t>der Ergänzung des Würfelnetzes gefunden werden müssen. Es kann vermindert werden, indem die Kinder die Lösung zunächst handelnd mit Material finden und dann gedanklich nachvollziehen.</w:t>
      </w:r>
    </w:p>
    <w:p w:rsidR="002920E7" w:rsidRPr="0096261F" w:rsidRDefault="002920E7" w:rsidP="0096261F">
      <w:pPr>
        <w:rPr>
          <w:sz w:val="22"/>
          <w:szCs w:val="22"/>
        </w:rPr>
      </w:pPr>
    </w:p>
    <w:p w:rsidR="00DB5C62" w:rsidRPr="0096261F" w:rsidRDefault="00DB5C62" w:rsidP="0096261F">
      <w:pPr>
        <w:rPr>
          <w:sz w:val="22"/>
          <w:szCs w:val="22"/>
        </w:rPr>
      </w:pPr>
    </w:p>
    <w:sectPr w:rsidR="00DB5C62" w:rsidRPr="0096261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345D" w:rsidRDefault="00E8345D" w:rsidP="00E8345D">
      <w:r>
        <w:separator/>
      </w:r>
    </w:p>
  </w:endnote>
  <w:endnote w:type="continuationSeparator" w:id="0">
    <w:p w:rsidR="00E8345D" w:rsidRDefault="00E8345D" w:rsidP="00E83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45D" w:rsidRDefault="00E834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45D" w:rsidRDefault="00E8345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45D" w:rsidRDefault="00E834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345D" w:rsidRDefault="00E8345D" w:rsidP="00E8345D">
      <w:r>
        <w:separator/>
      </w:r>
    </w:p>
  </w:footnote>
  <w:footnote w:type="continuationSeparator" w:id="0">
    <w:p w:rsidR="00E8345D" w:rsidRDefault="00E8345D" w:rsidP="00E83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45D" w:rsidRDefault="00E8345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45D" w:rsidRDefault="00E8345D">
    <w:pPr>
      <w:pStyle w:val="Kopfzeile"/>
    </w:pPr>
    <w:r>
      <w:rPr>
        <w:noProof/>
      </w:rPr>
      <w:drawing>
        <wp:anchor distT="0" distB="0" distL="114300" distR="114300" simplePos="0" relativeHeight="251659264" behindDoc="0" locked="0" layoutInCell="1" allowOverlap="1" wp14:anchorId="5E3A03AA" wp14:editId="72AB84F8">
          <wp:simplePos x="0" y="0"/>
          <wp:positionH relativeFrom="page">
            <wp:posOffset>765810</wp:posOffset>
          </wp:positionH>
          <wp:positionV relativeFrom="page">
            <wp:posOffset>199390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45D" w:rsidRDefault="00E834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D76491"/>
    <w:multiLevelType w:val="hybridMultilevel"/>
    <w:tmpl w:val="B058B0AC"/>
    <w:lvl w:ilvl="0" w:tplc="67E66CBE">
      <w:start w:val="1"/>
      <w:numFmt w:val="lowerLetter"/>
      <w:pStyle w:val="abcd"/>
      <w:lvlText w:val="%1)"/>
      <w:lvlJc w:val="left"/>
      <w:pPr>
        <w:ind w:left="644" w:hanging="360"/>
      </w:pPr>
    </w:lvl>
    <w:lvl w:ilvl="1" w:tplc="04070019">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A25162"/>
    <w:multiLevelType w:val="hybridMultilevel"/>
    <w:tmpl w:val="B1D8405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4CB15F02"/>
    <w:multiLevelType w:val="hybridMultilevel"/>
    <w:tmpl w:val="EF1CA8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1784CBD"/>
    <w:multiLevelType w:val="hybridMultilevel"/>
    <w:tmpl w:val="12AEDB80"/>
    <w:lvl w:ilvl="0" w:tplc="FC6C618E">
      <w:start w:val="1"/>
      <w:numFmt w:val="bullet"/>
      <w:pStyle w:val="Anstriche1"/>
      <w:lvlText w:val=""/>
      <w:lvlJc w:val="left"/>
      <w:pPr>
        <w:ind w:left="720" w:hanging="360"/>
      </w:pPr>
      <w:rPr>
        <w:rFonts w:ascii="Symbol" w:hAnsi="Symbol" w:hint="default"/>
        <w:w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0"/>
    <w:lvlOverride w:ilvl="0">
      <w:startOverride w:val="1"/>
    </w:lvlOverride>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920E7"/>
    <w:rsid w:val="002D1B6E"/>
    <w:rsid w:val="00304067"/>
    <w:rsid w:val="00304DCD"/>
    <w:rsid w:val="003A1C8B"/>
    <w:rsid w:val="003A496B"/>
    <w:rsid w:val="003B14C5"/>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8F646F"/>
    <w:rsid w:val="0096261F"/>
    <w:rsid w:val="009C47FB"/>
    <w:rsid w:val="009D5014"/>
    <w:rsid w:val="009E4A36"/>
    <w:rsid w:val="00A13FB9"/>
    <w:rsid w:val="00A25A42"/>
    <w:rsid w:val="00A47EC4"/>
    <w:rsid w:val="00A95DDE"/>
    <w:rsid w:val="00AB17D0"/>
    <w:rsid w:val="00B8136A"/>
    <w:rsid w:val="00C2385F"/>
    <w:rsid w:val="00C7686A"/>
    <w:rsid w:val="00CF32DF"/>
    <w:rsid w:val="00D44C7A"/>
    <w:rsid w:val="00D462AA"/>
    <w:rsid w:val="00DB5C62"/>
    <w:rsid w:val="00DD7D7B"/>
    <w:rsid w:val="00E8345D"/>
    <w:rsid w:val="00E95DAD"/>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3A0479"/>
  <w15:docId w15:val="{FD89FEE3-D73C-46E9-BDBC-AFE941FF2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uiPriority w:val="99"/>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rsid w:val="00E8345D"/>
    <w:pPr>
      <w:tabs>
        <w:tab w:val="center" w:pos="4536"/>
        <w:tab w:val="right" w:pos="9072"/>
      </w:tabs>
    </w:pPr>
  </w:style>
  <w:style w:type="character" w:customStyle="1" w:styleId="KopfzeileZchn">
    <w:name w:val="Kopfzeile Zchn"/>
    <w:basedOn w:val="Absatz-Standardschriftart"/>
    <w:link w:val="Kopfzeile"/>
    <w:rsid w:val="00E8345D"/>
    <w:rPr>
      <w:sz w:val="24"/>
      <w:szCs w:val="24"/>
    </w:rPr>
  </w:style>
  <w:style w:type="paragraph" w:styleId="Fuzeile">
    <w:name w:val="footer"/>
    <w:basedOn w:val="Standard"/>
    <w:link w:val="FuzeileZchn"/>
    <w:rsid w:val="00E8345D"/>
    <w:pPr>
      <w:tabs>
        <w:tab w:val="center" w:pos="4536"/>
        <w:tab w:val="right" w:pos="9072"/>
      </w:tabs>
    </w:pPr>
  </w:style>
  <w:style w:type="character" w:customStyle="1" w:styleId="FuzeileZchn">
    <w:name w:val="Fußzeile Zchn"/>
    <w:basedOn w:val="Absatz-Standardschriftart"/>
    <w:link w:val="Fuzeile"/>
    <w:rsid w:val="00E8345D"/>
    <w:rPr>
      <w:sz w:val="24"/>
      <w:szCs w:val="24"/>
    </w:rPr>
  </w:style>
  <w:style w:type="paragraph" w:customStyle="1" w:styleId="Anstriche1">
    <w:name w:val="Anstriche 1"/>
    <w:basedOn w:val="Standard"/>
    <w:rsid w:val="002920E7"/>
    <w:pPr>
      <w:numPr>
        <w:numId w:val="3"/>
      </w:numPr>
      <w:spacing w:before="50" w:after="120"/>
      <w:jc w:val="both"/>
    </w:pPr>
    <w:rPr>
      <w:rFonts w:ascii="Arial" w:hAnsi="Arial"/>
      <w:sz w:val="22"/>
    </w:rPr>
  </w:style>
  <w:style w:type="paragraph" w:customStyle="1" w:styleId="Grafik">
    <w:name w:val="Grafik"/>
    <w:basedOn w:val="Standard"/>
    <w:autoRedefine/>
    <w:qFormat/>
    <w:rsid w:val="002920E7"/>
    <w:pPr>
      <w:spacing w:after="360"/>
      <w:ind w:left="737"/>
      <w:jc w:val="both"/>
    </w:pPr>
    <w:rPr>
      <w:rFonts w:ascii="Arial" w:hAnsi="Arial" w:cs="Arial"/>
      <w:noProof/>
      <w:sz w:val="22"/>
    </w:rPr>
  </w:style>
  <w:style w:type="paragraph" w:customStyle="1" w:styleId="abcd">
    <w:name w:val="a) b) c) d)"/>
    <w:basedOn w:val="Anstriche1"/>
    <w:qFormat/>
    <w:rsid w:val="002920E7"/>
    <w:pPr>
      <w:numPr>
        <w:numId w:val="4"/>
      </w:numPr>
      <w:tabs>
        <w:tab w:val="left" w:pos="284"/>
        <w:tab w:val="left" w:pos="340"/>
        <w:tab w:val="left" w:pos="4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2487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11</cp:revision>
  <cp:lastPrinted>2007-01-11T14:25:00Z</cp:lastPrinted>
  <dcterms:created xsi:type="dcterms:W3CDTF">2020-12-23T09:34:00Z</dcterms:created>
  <dcterms:modified xsi:type="dcterms:W3CDTF">2021-02-12T10:07:00Z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